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F65E" w14:textId="77777777" w:rsidR="005D06A0" w:rsidRDefault="00BC5B62" w:rsidP="005D06A0">
      <w:pPr>
        <w:widowControl/>
        <w:rPr>
          <w:szCs w:val="22"/>
        </w:rPr>
      </w:pPr>
      <w:r>
        <w:t xml:space="preserve">CS</w:t>
      </w:r>
      <w:r>
        <w:cr/>
      </w:r>
      <w:r>
        <w:t xml:space="preserve">P-004849/2025</w:t>
      </w:r>
      <w:r>
        <w:cr/>
      </w:r>
      <w:r>
        <w:t xml:space="preserve">Odpověď komisaře Hansena</w:t>
      </w:r>
      <w:r>
        <w:cr/>
      </w:r>
      <w:r>
        <w:t xml:space="preserve">jménem Evropské komise</w:t>
      </w:r>
      <w:r>
        <w:cr/>
      </w:r>
      <w:r>
        <w:t xml:space="preserve">(22.1.2026)</w:t>
      </w:r>
      <w:r>
        <w:cr/>
      </w:r>
    </w:p>
    <w:p w14:paraId="57F32BE5" w14:textId="77777777" w:rsidR="005D06A0" w:rsidRDefault="005D06A0" w:rsidP="00755DE2">
      <w:pPr>
        <w:widowControl/>
        <w:jc w:val="both"/>
        <w:rPr>
          <w:szCs w:val="22"/>
        </w:rPr>
      </w:pPr>
    </w:p>
    <w:p w14:paraId="26E7CF6D" w14:textId="68FA4AA5" w:rsidR="006D63B3" w:rsidRDefault="00BC5B62" w:rsidP="00755DE2">
      <w:pPr>
        <w:widowControl/>
        <w:jc w:val="both"/>
        <w:rPr>
          <w:szCs w:val="22"/>
        </w:rPr>
      </w:pPr>
      <w:r>
        <w:t xml:space="preserve">Všechny členské státy jsou povinny dodržovat ustanovení Smluv EU a právních předpisů na nich založených, včetně ustanovení týkajících se řešení střetu zájmů, a zejména článku 61 finančního nařízení</w:t>
      </w:r>
      <w:r>
        <w:rPr>
          <w:rFonts w:cstheme="minorBidi"/>
          <w:szCs w:val="22"/>
          <w:vertAlign w:val="superscript"/>
        </w:rPr>
        <w:footnoteReference w:id="1"/>
      </w:r>
      <w:r>
        <w:t xml:space="preserve">.</w:t>
      </w:r>
    </w:p>
    <w:p w14:paraId="260D5D45" w14:textId="77777777" w:rsidR="006D63B3" w:rsidRPr="006D63B3" w:rsidRDefault="006D63B3" w:rsidP="00755DE2">
      <w:pPr>
        <w:widowControl/>
        <w:jc w:val="both"/>
        <w:rPr>
          <w:szCs w:val="22"/>
        </w:rPr>
      </w:pPr>
    </w:p>
    <w:p w14:paraId="69BFDD48" w14:textId="4AD40D52" w:rsidR="006D63B3" w:rsidRDefault="00BC5B62" w:rsidP="00755DE2">
      <w:pPr>
        <w:widowControl/>
        <w:jc w:val="both"/>
        <w:rPr>
          <w:szCs w:val="22"/>
        </w:rPr>
      </w:pPr>
      <w:r>
        <w:t xml:space="preserve">Podle tohoto článku se osoby a orgány podílející se na plnění rozpočtu EU musí zdržet jakéhokoli jednání, jež by mohlo uvést jejich zájmy do střetu se zájmy Unie.</w:t>
      </w:r>
      <w:r>
        <w:t xml:space="preserve"> </w:t>
      </w:r>
      <w:r>
        <w:t xml:space="preserve">Musí rovněž přijmout vhodná opatření, která u funkcí v rámci jejich odpovědnosti zamezí vzniku střetu zájmů a která řeší situace, jež lze objektivně vnímat jako střet zájmů</w:t>
      </w:r>
      <w:r>
        <w:rPr>
          <w:rStyle w:val="FootnoteReference"/>
          <w:rFonts w:cstheme="minorBidi"/>
          <w:szCs w:val="22"/>
        </w:rPr>
        <w:footnoteReference w:id="2"/>
      </w:r>
      <w:r>
        <w:t xml:space="preserve">.</w:t>
      </w:r>
    </w:p>
    <w:p w14:paraId="0098FC5C" w14:textId="77777777" w:rsidR="006D63B3" w:rsidRDefault="006D63B3" w:rsidP="00755DE2">
      <w:pPr>
        <w:widowControl/>
        <w:jc w:val="both"/>
        <w:rPr>
          <w:szCs w:val="22"/>
        </w:rPr>
      </w:pPr>
    </w:p>
    <w:p w14:paraId="081609CD" w14:textId="3EDB453C" w:rsidR="00662C1E" w:rsidRDefault="00BC5B62" w:rsidP="00755DE2">
      <w:pPr>
        <w:widowControl/>
        <w:jc w:val="both"/>
        <w:rPr>
          <w:szCs w:val="22"/>
        </w:rPr>
      </w:pPr>
      <w:r>
        <w:t xml:space="preserve">Podle nařízení o podmíněnosti</w:t>
      </w:r>
      <w:r>
        <w:rPr>
          <w:rFonts w:cstheme="minorBidi"/>
          <w:szCs w:val="22"/>
          <w:vertAlign w:val="superscript"/>
        </w:rPr>
        <w:footnoteReference w:id="3"/>
      </w:r>
      <w:r>
        <w:t xml:space="preserve"> může nezajištění neexistence střetu zájmů, pokud jde o řádné fungování orgánů plnících rozpočet EU, naznačovat porušení zásad právního státu.</w:t>
      </w:r>
      <w:r>
        <w:t xml:space="preserve"> </w:t>
      </w:r>
      <w:r>
        <w:t xml:space="preserve">Toto nařízení se vztahuje na všechny fondy EU</w:t>
      </w:r>
      <w:r>
        <w:rPr>
          <w:rFonts w:cstheme="minorBidi"/>
          <w:szCs w:val="22"/>
          <w:vertAlign w:val="superscript"/>
        </w:rPr>
        <w:footnoteReference w:id="4"/>
      </w:r>
      <w:r>
        <w:t xml:space="preserve">.</w:t>
      </w:r>
    </w:p>
    <w:p w14:paraId="5082AFAD" w14:textId="77777777" w:rsidR="006D63B3" w:rsidRDefault="006D63B3" w:rsidP="00755DE2">
      <w:pPr>
        <w:widowControl/>
        <w:jc w:val="both"/>
        <w:rPr>
          <w:szCs w:val="22"/>
        </w:rPr>
      </w:pPr>
    </w:p>
    <w:p w14:paraId="409A59A6" w14:textId="7CFBE8C8" w:rsidR="00006396" w:rsidRDefault="00BC5B62" w:rsidP="00755DE2">
      <w:pPr>
        <w:widowControl/>
        <w:jc w:val="both"/>
        <w:rPr>
          <w:szCs w:val="22"/>
          <w:rFonts w:cstheme="minorBidi"/>
        </w:rPr>
      </w:pPr>
      <w:r>
        <w:t xml:space="preserve">Komise spoléhá na to, že Česká republika bude i nadále zajišťovat dodržování těchto zásad a pravidel a že bude i nadále ostražitá při ochraně finančních zájmů Unie.</w:t>
      </w:r>
      <w:r>
        <w:t xml:space="preserve"> </w:t>
      </w:r>
      <w:r>
        <w:t xml:space="preserve">Pečlivě sleduje situaci ve všech členských státech, včetně České republiky, s cílem posoudit, zda jsou splněny podmínky pro aktivaci nástrojů, které má na ochranu finančních zájmů Unie k dispozici.</w:t>
      </w:r>
    </w:p>
    <w:p w14:paraId="39E8631E" w14:textId="77777777" w:rsidR="000566CE" w:rsidRDefault="000566CE" w:rsidP="00755DE2">
      <w:pPr>
        <w:widowControl/>
        <w:jc w:val="both"/>
        <w:rPr>
          <w:rFonts w:cstheme="minorBidi"/>
          <w:szCs w:val="22"/>
        </w:rPr>
      </w:pPr>
    </w:p>
    <w:p w14:paraId="6472EB47" w14:textId="6C5BFDED" w:rsidR="000566CE" w:rsidRDefault="000566CE" w:rsidP="00755DE2">
      <w:pPr>
        <w:widowControl/>
        <w:jc w:val="both"/>
        <w:rPr>
          <w:szCs w:val="22"/>
        </w:rPr>
      </w:pPr>
      <w:r>
        <w:t xml:space="preserve">Komise bude v zájmu ochrany rozpočtu Unie náležitě sledovat jakýkoli střet zájmů, který nebyl vyřešen v souladu s požadavky finančního nařízení.</w:t>
      </w:r>
    </w:p>
    <w:p w14:paraId="7C6E16B5" w14:textId="77777777" w:rsidR="00D67A14" w:rsidRPr="00335C60" w:rsidRDefault="00D67A14" w:rsidP="00755DE2">
      <w:pPr>
        <w:widowControl/>
        <w:jc w:val="both"/>
        <w:rPr>
          <w:szCs w:val="22"/>
        </w:rPr>
      </w:pPr>
    </w:p>
    <w:sectPr w:rsidR="00D67A14" w:rsidRPr="00335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4133" w14:textId="77777777" w:rsidR="00F85860" w:rsidRDefault="00F85860">
      <w:r>
        <w:separator/>
      </w:r>
    </w:p>
  </w:endnote>
  <w:endnote w:type="continuationSeparator" w:id="0">
    <w:p w14:paraId="31FDBC33" w14:textId="77777777" w:rsidR="00F85860" w:rsidRDefault="00F8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944B" w14:textId="679B6452" w:rsidR="009D3948" w:rsidRPr="002201FE" w:rsidRDefault="009D3948" w:rsidP="00220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CFE7" w14:textId="13ABC6A0" w:rsidR="009D3948" w:rsidRPr="002201FE" w:rsidRDefault="009D3948" w:rsidP="00220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DDF6" w14:textId="3FEFA50B" w:rsidR="009D3948" w:rsidRPr="002201FE" w:rsidRDefault="009D3948" w:rsidP="00220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74AA" w14:textId="77777777" w:rsidR="00F85860" w:rsidRDefault="00F85860">
      <w:r>
        <w:separator/>
      </w:r>
    </w:p>
  </w:footnote>
  <w:footnote w:type="continuationSeparator" w:id="0">
    <w:p w14:paraId="3432C86D" w14:textId="77777777" w:rsidR="00F85860" w:rsidRDefault="00F85860">
      <w:r>
        <w:continuationSeparator/>
      </w:r>
    </w:p>
  </w:footnote>
  <w:footnote w:id="1">
    <w:p w14:paraId="4F4E9D95" w14:textId="638A4709" w:rsidR="00BC5B62" w:rsidRPr="00820257" w:rsidRDefault="00BC5B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 xml:space="preserve">https://eur-lex.europa.eu/legal-content/cs/TXT/?uri=CELEX%3A32024R2509&amp;qid=1729499536269</w:t>
        </w:r>
      </w:hyperlink>
      <w:r>
        <w:t xml:space="preserve">.</w:t>
      </w:r>
    </w:p>
  </w:footnote>
  <w:footnote w:id="2">
    <w:p w14:paraId="19DF9553" w14:textId="3346B45B" w:rsidR="00BC5B62" w:rsidRPr="00BC5B62" w:rsidRDefault="00BC5B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 xml:space="preserve">https://eur-lex.europa.eu/legal-content/CS/TXT/?uri=CELEX:52021XC0409(01)</w:t>
        </w:r>
      </w:hyperlink>
    </w:p>
  </w:footnote>
  <w:footnote w:id="3">
    <w:p w14:paraId="7F1C8524" w14:textId="77777777" w:rsidR="00D67A14" w:rsidRPr="005F6C88" w:rsidRDefault="00BC5B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 xml:space="preserve">https://eur-lex.europa.eu/eli/reg/2020/2092/oj</w:t>
        </w:r>
      </w:hyperlink>
      <w:r>
        <w:t xml:space="preserve">.</w:t>
      </w:r>
    </w:p>
  </w:footnote>
  <w:footnote w:id="4">
    <w:p w14:paraId="042CACB2" w14:textId="77777777" w:rsidR="00D67A14" w:rsidRPr="00716092" w:rsidRDefault="00BC5B62">
      <w:pPr>
        <w:pStyle w:val="FootnoteText"/>
      </w:pPr>
      <w:r>
        <w:rPr>
          <w:rStyle w:val="FootnoteReference"/>
        </w:rPr>
        <w:footnoteRef/>
      </w:r>
      <w:r>
        <w:t xml:space="preserve"> včetně EZFRV (Evropský zemědělský fond pro rozvoj venkova) a EZZF (Evropský zemědělský záruční fond).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C24B" w14:textId="77777777" w:rsidR="002201FE" w:rsidRDefault="00220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9291" w14:textId="77777777" w:rsidR="002201FE" w:rsidRDefault="00220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104A" w14:textId="77777777" w:rsidR="002201FE" w:rsidRDefault="00220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A77B3E"/>
    <w:rsid w:val="00006396"/>
    <w:rsid w:val="000566CE"/>
    <w:rsid w:val="000A7F4E"/>
    <w:rsid w:val="0011083D"/>
    <w:rsid w:val="001540C1"/>
    <w:rsid w:val="001D0F88"/>
    <w:rsid w:val="002201FE"/>
    <w:rsid w:val="00224C42"/>
    <w:rsid w:val="0033074A"/>
    <w:rsid w:val="00335C60"/>
    <w:rsid w:val="00494B7D"/>
    <w:rsid w:val="005D06A0"/>
    <w:rsid w:val="005F6C88"/>
    <w:rsid w:val="00662B7E"/>
    <w:rsid w:val="00662C1E"/>
    <w:rsid w:val="006B47B9"/>
    <w:rsid w:val="006D63B3"/>
    <w:rsid w:val="00716092"/>
    <w:rsid w:val="00755DE2"/>
    <w:rsid w:val="00820257"/>
    <w:rsid w:val="008232B8"/>
    <w:rsid w:val="008C79A5"/>
    <w:rsid w:val="009D3948"/>
    <w:rsid w:val="00A77B3E"/>
    <w:rsid w:val="00B970ED"/>
    <w:rsid w:val="00BC5B62"/>
    <w:rsid w:val="00C325DC"/>
    <w:rsid w:val="00CA2A55"/>
    <w:rsid w:val="00D511AB"/>
    <w:rsid w:val="00D67A14"/>
    <w:rsid w:val="00E42E6C"/>
    <w:rsid w:val="00EF7F89"/>
    <w:rsid w:val="00F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CB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vanish/>
      <w:color w:val="000080"/>
      <w:sz w:val="20"/>
    </w:rPr>
  </w:style>
  <w:style w:type="character" w:customStyle="1" w:styleId="HideTWBInt">
    <w:name w:val="HideTWBInt"/>
    <w:rPr>
      <w:rFonts w:ascii="Arial" w:eastAsia="Arial" w:hAnsi="Arial" w:cs="Arial"/>
      <w:vanish/>
      <w:color w:val="808080"/>
      <w:sz w:val="20"/>
    </w:rPr>
  </w:style>
  <w:style w:type="paragraph" w:customStyle="1" w:styleId="Normal12a">
    <w:name w:val="Normal12a"/>
    <w:basedOn w:val="Normal"/>
    <w:pPr>
      <w:widowControl/>
      <w:spacing w:after="240"/>
    </w:pPr>
  </w:style>
  <w:style w:type="paragraph" w:customStyle="1" w:styleId="NormalBold">
    <w:name w:val="NormalBold"/>
    <w:basedOn w:val="Normal"/>
    <w:pPr>
      <w:widowControl/>
    </w:pPr>
    <w:rPr>
      <w:b/>
    </w:rPr>
  </w:style>
  <w:style w:type="paragraph" w:customStyle="1" w:styleId="EPFooter2">
    <w:name w:val="EPFooter2"/>
    <w:basedOn w:val="Normal"/>
    <w:next w:val="Normal"/>
    <w:pPr>
      <w:widowControl/>
      <w:tabs>
        <w:tab w:val="center" w:pos="4534"/>
        <w:tab w:val="right" w:pos="9920"/>
      </w:tabs>
      <w:ind w:left="-840" w:right="-840"/>
    </w:pPr>
    <w:rPr>
      <w:rFonts w:ascii="Arial" w:eastAsia="Arial" w:hAnsi="Arial" w:cs="Arial"/>
      <w:b/>
      <w:sz w:val="48"/>
    </w:rPr>
  </w:style>
  <w:style w:type="paragraph" w:customStyle="1" w:styleId="NormalHanging12a">
    <w:name w:val="NormalHanging12a"/>
    <w:basedOn w:val="Normal"/>
    <w:pPr>
      <w:widowControl/>
      <w:spacing w:after="240"/>
      <w:ind w:left="566" w:hanging="566"/>
    </w:pPr>
  </w:style>
  <w:style w:type="paragraph" w:customStyle="1" w:styleId="QuestionSubject">
    <w:name w:val="QuestionSubject"/>
    <w:basedOn w:val="Normal"/>
    <w:pPr>
      <w:widowControl/>
      <w:spacing w:after="240"/>
      <w:ind w:left="1134" w:hanging="1134"/>
    </w:pPr>
  </w:style>
  <w:style w:type="paragraph" w:customStyle="1" w:styleId="EPFooter">
    <w:name w:val="EPFooter"/>
    <w:basedOn w:val="Normal"/>
    <w:pPr>
      <w:widowControl/>
      <w:tabs>
        <w:tab w:val="center" w:pos="4534"/>
        <w:tab w:val="right" w:pos="9070"/>
      </w:tabs>
      <w:spacing w:before="240" w:after="240"/>
    </w:pPr>
    <w:rPr>
      <w:sz w:val="22"/>
    </w:rPr>
  </w:style>
  <w:style w:type="paragraph" w:styleId="TOCHeading">
    <w:name w:val="TOC Heading"/>
    <w:basedOn w:val="Normal"/>
    <w:next w:val="Normal"/>
    <w:uiPriority w:val="39"/>
    <w:unhideWhenUsed/>
    <w:qFormat/>
    <w:rsid w:val="000200DD"/>
    <w:pPr>
      <w:keepLines/>
      <w:widowControl/>
      <w:spacing w:after="240"/>
    </w:pPr>
    <w:rPr>
      <w:b/>
      <w:color w:val="2E74B5"/>
      <w:shd w:val="pct50" w:color="4F81BD" w:themeColor="accent1" w:fill="4F81BD" w:themeFill="accent1"/>
    </w:rPr>
  </w:style>
  <w:style w:type="paragraph" w:customStyle="1" w:styleId="FootnoteTextForceStyle">
    <w:name w:val="Footnote Text ForceStyle"/>
    <w:pPr>
      <w:tabs>
        <w:tab w:val="left" w:pos="284"/>
      </w:tabs>
      <w:ind w:left="284" w:hanging="284"/>
    </w:pPr>
  </w:style>
  <w:style w:type="character" w:customStyle="1" w:styleId="Heading1Char">
    <w:name w:val="Heading 1 Char"/>
    <w:rPr>
      <w:rFonts w:ascii="Calibri Light" w:hAnsi="Calibri Light"/>
      <w:b/>
      <w:sz w:val="32"/>
    </w:rPr>
  </w:style>
  <w:style w:type="character" w:customStyle="1" w:styleId="CMissingStyle">
    <w:name w:val="C_MissingStyle"/>
    <w:rPr>
      <w:color w:val="FFFFFF"/>
      <w:sz w:val="22"/>
      <w:shd w:val="clear" w:color="000000" w:fill="000000"/>
    </w:rPr>
  </w:style>
  <w:style w:type="paragraph" w:customStyle="1" w:styleId="PMissingStyle">
    <w:name w:val="P_MissingStyle"/>
    <w:basedOn w:val="Normal"/>
    <w:pPr>
      <w:widowControl/>
    </w:pPr>
    <w:rPr>
      <w:color w:val="FFFFFF"/>
      <w:shd w:val="clear" w:color="000000" w:fill="000000"/>
    </w:rPr>
  </w:style>
  <w:style w:type="paragraph" w:styleId="Footer">
    <w:name w:val="footer"/>
    <w:basedOn w:val="Normal"/>
    <w:rsid w:val="00EF7B96"/>
    <w:pPr>
      <w:tabs>
        <w:tab w:val="center" w:pos="4677"/>
        <w:tab w:val="right" w:pos="9355"/>
      </w:tabs>
    </w:pPr>
  </w:style>
  <w:style w:type="character" w:styleId="FootnoteReference">
    <w:name w:val="footnote reference"/>
    <w:basedOn w:val="DefaultParagraphFont"/>
    <w:uiPriority w:val="99"/>
    <w:semiHidden/>
    <w:unhideWhenUsed/>
    <w:rsid w:val="00D67A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025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14"/>
    <w:pPr>
      <w:widowControl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14"/>
  </w:style>
  <w:style w:type="character" w:styleId="FollowedHyperlink">
    <w:name w:val="FollowedHyperlink"/>
    <w:basedOn w:val="DefaultParagraphFont"/>
    <w:rsid w:val="00224C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24C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4C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4C42"/>
  </w:style>
  <w:style w:type="paragraph" w:styleId="CommentSubject">
    <w:name w:val="annotation subject"/>
    <w:basedOn w:val="CommentText"/>
    <w:next w:val="CommentText"/>
    <w:link w:val="CommentSubjectChar"/>
    <w:rsid w:val="00224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4C4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4C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66CE"/>
    <w:rPr>
      <w:sz w:val="24"/>
      <w:szCs w:val="24"/>
    </w:rPr>
  </w:style>
  <w:style w:type="paragraph" w:styleId="Header">
    <w:name w:val="header"/>
    <w:basedOn w:val="Normal"/>
    <w:link w:val="HeaderChar"/>
    <w:rsid w:val="00220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01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footnotes.xml.rels><?xml version="1.0" encoding="UTF-8" standalone="yes"?>
<Relationships xmlns="http://schemas.openxmlformats.org/package/2006/relationships">
<Relationship Id="rId1" Target="https://eur-lex.europa.eu/legal-content/cs/TXT/?uri=CELEX%3A32024R2509&amp;qid=1729499536269" TargetMode="External" Type="http://schemas.openxmlformats.org/officeDocument/2006/relationships/hyperlink"/>
<Relationship Id="rId2" Target="https://eur-lex.europa.eu/legal-content/CS/TXT/?uri=CELEX:52021XC0409(01)" TargetMode="External" Type="http://schemas.openxmlformats.org/officeDocument/2006/relationships/hyperlink"/>
<Relationship Id="rId3" Target="https://eur-lex.europa.eu/eli/reg/2020/2092/oj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2042-365A-4B88-8B8C-D0E9B428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1366</Characters>
  <Application>Microsoft Office Word</Application>
  <DocSecurity>0</DocSecurity>
  <Lines>31</Lines>
  <Paragraphs>7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2026-01-16T08:59:00Z</dcterms:created>
  <dcterms:modified xsi:type="dcterms:W3CDTF">2026-01-16T08:59:00Z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2026-01-16T08:59:18Z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dc512c92-58b4-41cc-9a53-f066f4c14650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